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2"/>
        </w:rPr>
      </w:pPr>
    </w:p>
    <w:p>
      <w:pPr>
        <w:spacing w:after="0"/>
        <w:rPr>
          <w:rFonts w:ascii="Times New Roman"/>
          <w:sz w:val="22"/>
        </w:rPr>
        <w:sectPr>
          <w:type w:val="continuous"/>
          <w:pgSz w:w="16840" w:h="11900" w:orient="landscape"/>
          <w:pgMar w:top="400" w:bottom="0" w:left="2140" w:right="2220"/>
        </w:sectPr>
      </w:pPr>
    </w:p>
    <w:p>
      <w:pPr>
        <w:pStyle w:val="BodyText"/>
        <w:rPr>
          <w:rFonts w:ascii="Times New Roman"/>
          <w:sz w:val="22"/>
        </w:rPr>
      </w:pPr>
      <w:r>
        <w:rPr/>
        <w:pict>
          <v:group style="position:absolute;margin-left:2.16pt;margin-top:19.93pt;width:401.05pt;height:227.3pt;mso-position-horizontal-relative:page;mso-position-vertical-relative:page;z-index:-251773952" coordorigin="43,399" coordsize="8021,4546">
            <v:shape style="position:absolute;left:43;top:398;width:8021;height:4546" type="#_x0000_t75" stroked="false">
              <v:imagedata r:id="rId5" o:title=""/>
            </v:shape>
            <v:shapetype id="_x0000_t202" o:spt="202" coordsize="21600,21600" path="m,l,21600r21600,l21600,xe">
              <v:stroke joinstyle="miter"/>
              <v:path gradientshapeok="t" o:connecttype="rect"/>
            </v:shapetype>
            <v:shape style="position:absolute;left:2580;top:1924;width:2963;height:386" type="#_x0000_t202" filled="false" stroked="false">
              <v:textbox inset="0,0,0,0">
                <w:txbxContent>
                  <w:p>
                    <w:pPr>
                      <w:spacing w:line="385" w:lineRule="exact" w:before="0"/>
                      <w:ind w:left="0" w:right="0" w:firstLine="0"/>
                      <w:jc w:val="left"/>
                      <w:rPr>
                        <w:b/>
                        <w:sz w:val="32"/>
                      </w:rPr>
                    </w:pPr>
                    <w:r>
                      <w:rPr>
                        <w:b/>
                        <w:color w:val="FFFFFF"/>
                        <w:sz w:val="32"/>
                      </w:rPr>
                      <w:t>T</w:t>
                    </w:r>
                    <w:r>
                      <w:rPr>
                        <w:b/>
                        <w:color w:val="FFFFFF"/>
                        <w:spacing w:val="-63"/>
                        <w:sz w:val="32"/>
                      </w:rPr>
                      <w:t> </w:t>
                    </w:r>
                    <w:r>
                      <w:rPr>
                        <w:b/>
                        <w:color w:val="FFFFFF"/>
                        <w:sz w:val="32"/>
                      </w:rPr>
                      <w:t>Y</w:t>
                    </w:r>
                    <w:r>
                      <w:rPr>
                        <w:b/>
                        <w:color w:val="FFFFFF"/>
                        <w:spacing w:val="-63"/>
                        <w:sz w:val="32"/>
                      </w:rPr>
                      <w:t> </w:t>
                    </w:r>
                    <w:r>
                      <w:rPr>
                        <w:b/>
                        <w:color w:val="FFFFFF"/>
                        <w:sz w:val="32"/>
                      </w:rPr>
                      <w:t>P</w:t>
                    </w:r>
                    <w:r>
                      <w:rPr>
                        <w:b/>
                        <w:color w:val="FFFFFF"/>
                        <w:spacing w:val="-62"/>
                        <w:sz w:val="32"/>
                      </w:rPr>
                      <w:t> </w:t>
                    </w:r>
                    <w:r>
                      <w:rPr>
                        <w:b/>
                        <w:color w:val="FFFFFF"/>
                        <w:sz w:val="32"/>
                      </w:rPr>
                      <w:t>E</w:t>
                    </w:r>
                    <w:r>
                      <w:rPr>
                        <w:b/>
                        <w:color w:val="FFFFFF"/>
                        <w:spacing w:val="-61"/>
                        <w:sz w:val="32"/>
                      </w:rPr>
                      <w:t> </w:t>
                    </w:r>
                    <w:r>
                      <w:rPr>
                        <w:b/>
                        <w:color w:val="FFFFFF"/>
                        <w:sz w:val="32"/>
                      </w:rPr>
                      <w:t>S O</w:t>
                    </w:r>
                    <w:r>
                      <w:rPr>
                        <w:b/>
                        <w:color w:val="FFFFFF"/>
                        <w:spacing w:val="-61"/>
                        <w:sz w:val="32"/>
                      </w:rPr>
                      <w:t> </w:t>
                    </w:r>
                    <w:r>
                      <w:rPr>
                        <w:b/>
                        <w:color w:val="FFFFFF"/>
                        <w:sz w:val="32"/>
                      </w:rPr>
                      <w:t>F H</w:t>
                    </w:r>
                    <w:r>
                      <w:rPr>
                        <w:b/>
                        <w:color w:val="FFFFFF"/>
                        <w:spacing w:val="-63"/>
                        <w:sz w:val="32"/>
                      </w:rPr>
                      <w:t> </w:t>
                    </w:r>
                    <w:r>
                      <w:rPr>
                        <w:b/>
                        <w:color w:val="FFFFFF"/>
                        <w:sz w:val="32"/>
                      </w:rPr>
                      <w:t>A</w:t>
                    </w:r>
                    <w:r>
                      <w:rPr>
                        <w:b/>
                        <w:color w:val="FFFFFF"/>
                        <w:spacing w:val="-60"/>
                        <w:sz w:val="32"/>
                      </w:rPr>
                      <w:t> </w:t>
                    </w:r>
                    <w:r>
                      <w:rPr>
                        <w:b/>
                        <w:color w:val="FFFFFF"/>
                        <w:sz w:val="32"/>
                      </w:rPr>
                      <w:t>R</w:t>
                    </w:r>
                    <w:r>
                      <w:rPr>
                        <w:b/>
                        <w:color w:val="FFFFFF"/>
                        <w:spacing w:val="-63"/>
                        <w:sz w:val="32"/>
                      </w:rPr>
                      <w:t> </w:t>
                    </w:r>
                    <w:r>
                      <w:rPr>
                        <w:b/>
                        <w:color w:val="FFFFFF"/>
                        <w:sz w:val="32"/>
                      </w:rPr>
                      <w:t>M</w:t>
                    </w:r>
                  </w:p>
                </w:txbxContent>
              </v:textbox>
              <w10:wrap type="none"/>
            </v:shape>
            <v:shape style="position:absolute;left:2246;top:4091;width:5719;height:434" type="#_x0000_t202" filled="false" stroked="false">
              <v:textbox inset="0,0,0,0">
                <w:txbxContent>
                  <w:p>
                    <w:pPr>
                      <w:spacing w:before="0"/>
                      <w:ind w:left="0" w:right="0" w:firstLine="0"/>
                      <w:jc w:val="left"/>
                      <w:rPr>
                        <w:b/>
                        <w:sz w:val="18"/>
                      </w:rPr>
                    </w:pPr>
                    <w:r>
                      <w:rPr>
                        <w:b/>
                        <w:color w:val="00A59B"/>
                        <w:sz w:val="18"/>
                      </w:rPr>
                      <w:t>The Care Act recognises 10 categories of abuse that may be experienced by adults.</w:t>
                    </w:r>
                  </w:p>
                </w:txbxContent>
              </v:textbox>
              <w10:wrap type="none"/>
            </v:shape>
            <w10:wrap type="none"/>
          </v:group>
        </w:pict>
      </w:r>
      <w:r>
        <w:rPr/>
        <w:drawing>
          <wp:anchor distT="0" distB="0" distL="0" distR="0" allowOverlap="1" layoutInCell="1" locked="0" behindDoc="0" simplePos="0" relativeHeight="251661312">
            <wp:simplePos x="0" y="0"/>
            <wp:positionH relativeFrom="page">
              <wp:posOffset>9535668</wp:posOffset>
            </wp:positionH>
            <wp:positionV relativeFrom="page">
              <wp:posOffset>5305171</wp:posOffset>
            </wp:positionV>
            <wp:extent cx="1146048" cy="2249424"/>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1146048" cy="2249424"/>
                    </a:xfrm>
                    <a:prstGeom prst="rect">
                      <a:avLst/>
                    </a:prstGeom>
                  </pic:spPr>
                </pic:pic>
              </a:graphicData>
            </a:graphic>
          </wp:anchor>
        </w:drawing>
      </w:r>
    </w:p>
    <w:p>
      <w:pPr>
        <w:pStyle w:val="BodyText"/>
        <w:rPr>
          <w:rFonts w:ascii="Times New Roman"/>
          <w:sz w:val="22"/>
        </w:rPr>
      </w:pPr>
    </w:p>
    <w:p>
      <w:pPr>
        <w:pStyle w:val="BodyText"/>
        <w:spacing w:before="9"/>
        <w:rPr>
          <w:rFonts w:ascii="Times New Roman"/>
          <w:sz w:val="29"/>
        </w:rPr>
      </w:pPr>
    </w:p>
    <w:p>
      <w:pPr>
        <w:pStyle w:val="Heading1"/>
      </w:pPr>
      <w:r>
        <w:rPr>
          <w:color w:val="00A59B"/>
        </w:rPr>
        <w:t>Self-neglect</w:t>
      </w:r>
    </w:p>
    <w:p>
      <w:pPr>
        <w:pStyle w:val="BodyText"/>
        <w:spacing w:line="276" w:lineRule="auto" w:before="33"/>
        <w:ind w:left="128" w:right="60"/>
      </w:pPr>
      <w:r>
        <w:rPr/>
        <w:t>This covers a wide range of behaviour: neglecting to care for one’s personal hygiene, health or surroundings and includes behaviour such as hoarding.</w:t>
      </w:r>
    </w:p>
    <w:p>
      <w:pPr>
        <w:pStyle w:val="BodyText"/>
        <w:spacing w:before="9"/>
        <w:rPr>
          <w:sz w:val="20"/>
        </w:rPr>
      </w:pPr>
    </w:p>
    <w:p>
      <w:pPr>
        <w:pStyle w:val="Heading1"/>
        <w:spacing w:before="1"/>
      </w:pPr>
      <w:r>
        <w:rPr>
          <w:color w:val="00A59B"/>
          <w:spacing w:val="8"/>
        </w:rPr>
        <w:t>Modern</w:t>
      </w:r>
      <w:r>
        <w:rPr>
          <w:color w:val="00A59B"/>
          <w:spacing w:val="28"/>
        </w:rPr>
        <w:t> </w:t>
      </w:r>
      <w:r>
        <w:rPr>
          <w:color w:val="00A59B"/>
          <w:spacing w:val="8"/>
        </w:rPr>
        <w:t>Slavery</w:t>
      </w:r>
    </w:p>
    <w:p>
      <w:pPr>
        <w:pStyle w:val="BodyText"/>
        <w:spacing w:line="276" w:lineRule="auto" w:before="32"/>
        <w:ind w:left="128" w:right="60"/>
      </w:pPr>
      <w:r>
        <w:rPr/>
        <w:t>This encompasses slavery, human trafficking, forced</w:t>
      </w:r>
      <w:r>
        <w:rPr>
          <w:spacing w:val="-42"/>
        </w:rPr>
        <w:t> </w:t>
      </w:r>
      <w:r>
        <w:rPr/>
        <w:t>labour and domestic servitude.</w:t>
      </w:r>
    </w:p>
    <w:p>
      <w:pPr>
        <w:pStyle w:val="BodyText"/>
        <w:spacing w:before="7"/>
        <w:rPr>
          <w:sz w:val="20"/>
        </w:rPr>
      </w:pPr>
    </w:p>
    <w:p>
      <w:pPr>
        <w:pStyle w:val="Heading1"/>
        <w:spacing w:before="1"/>
      </w:pPr>
      <w:r>
        <w:rPr>
          <w:color w:val="00A59B"/>
        </w:rPr>
        <w:t>Domestic Abuse</w:t>
      </w:r>
    </w:p>
    <w:p>
      <w:pPr>
        <w:pStyle w:val="BodyText"/>
        <w:spacing w:line="276" w:lineRule="auto" w:before="32"/>
        <w:ind w:left="128" w:right="60"/>
      </w:pPr>
      <w:r>
        <w:rPr/>
        <w:t>This includes psychological, physical, sexual, financial and emotional abuse perpetrated by anyone within a person’s family. It also includes so called 'honour' based violence.</w:t>
      </w:r>
    </w:p>
    <w:p>
      <w:pPr>
        <w:pStyle w:val="BodyText"/>
        <w:spacing w:before="10"/>
        <w:rPr>
          <w:sz w:val="20"/>
        </w:rPr>
      </w:pPr>
    </w:p>
    <w:p>
      <w:pPr>
        <w:pStyle w:val="Heading1"/>
      </w:pPr>
      <w:r>
        <w:rPr>
          <w:color w:val="00A59B"/>
        </w:rPr>
        <w:t>Discriminatory</w:t>
      </w:r>
    </w:p>
    <w:p>
      <w:pPr>
        <w:pStyle w:val="BodyText"/>
        <w:spacing w:line="276" w:lineRule="auto" w:before="32"/>
        <w:ind w:left="128" w:right="2"/>
      </w:pPr>
      <w:r>
        <w:rPr/>
        <w:t>Discrimination is abuse which centres on a difference or perceived difference particularly with respect to race, gender or disability or any of the protected characteristics of the Equality Act.</w:t>
      </w:r>
    </w:p>
    <w:p>
      <w:pPr>
        <w:pStyle w:val="BodyText"/>
        <w:spacing w:before="7"/>
        <w:rPr>
          <w:sz w:val="20"/>
        </w:rPr>
      </w:pPr>
    </w:p>
    <w:p>
      <w:pPr>
        <w:pStyle w:val="Heading1"/>
        <w:spacing w:before="1"/>
      </w:pPr>
      <w:r>
        <w:rPr>
          <w:color w:val="00A59B"/>
        </w:rPr>
        <w:t>Organisational</w:t>
      </w:r>
    </w:p>
    <w:p>
      <w:pPr>
        <w:pStyle w:val="BodyText"/>
        <w:spacing w:line="276" w:lineRule="auto" w:before="32"/>
        <w:ind w:left="128" w:right="18"/>
      </w:pPr>
      <w:r>
        <w:rPr/>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pPr>
        <w:pStyle w:val="Heading1"/>
        <w:spacing w:before="100"/>
        <w:ind w:left="127"/>
      </w:pPr>
      <w:r>
        <w:rPr>
          <w:b w:val="0"/>
        </w:rPr>
        <w:br w:type="column"/>
      </w:r>
      <w:r>
        <w:rPr>
          <w:color w:val="00A59B"/>
        </w:rPr>
        <w:t>Physical</w:t>
      </w:r>
    </w:p>
    <w:p>
      <w:pPr>
        <w:pStyle w:val="BodyText"/>
        <w:spacing w:line="276" w:lineRule="auto" w:before="32"/>
        <w:ind w:left="127"/>
      </w:pPr>
      <w:r>
        <w:rPr/>
        <w:t>This includes hitting, slapping, pushing, kicking, misuse of medication, restraint or inappropriate sanctions.</w:t>
      </w:r>
    </w:p>
    <w:p>
      <w:pPr>
        <w:pStyle w:val="BodyText"/>
        <w:spacing w:before="8"/>
        <w:rPr>
          <w:sz w:val="20"/>
        </w:rPr>
      </w:pPr>
    </w:p>
    <w:p>
      <w:pPr>
        <w:pStyle w:val="Heading1"/>
        <w:ind w:left="127"/>
      </w:pPr>
      <w:r>
        <w:rPr>
          <w:color w:val="00A59B"/>
        </w:rPr>
        <w:t>Sexual</w:t>
      </w:r>
    </w:p>
    <w:p>
      <w:pPr>
        <w:pStyle w:val="BodyText"/>
        <w:spacing w:line="276" w:lineRule="auto" w:before="32"/>
        <w:ind w:left="127" w:right="98"/>
      </w:pPr>
      <w:r>
        <w:rPr/>
        <w:t>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pPr>
        <w:pStyle w:val="BodyText"/>
        <w:spacing w:before="10"/>
        <w:rPr>
          <w:sz w:val="20"/>
        </w:rPr>
      </w:pPr>
    </w:p>
    <w:p>
      <w:pPr>
        <w:pStyle w:val="Heading1"/>
        <w:ind w:left="127"/>
      </w:pPr>
      <w:r>
        <w:rPr>
          <w:color w:val="00A59B"/>
        </w:rPr>
        <w:t>Financial or material</w:t>
      </w:r>
    </w:p>
    <w:p>
      <w:pPr>
        <w:pStyle w:val="BodyText"/>
        <w:spacing w:line="276" w:lineRule="auto" w:before="32"/>
        <w:ind w:left="127" w:right="98"/>
      </w:pPr>
      <w:r>
        <w:rPr/>
        <w:t>This includes theft, fraud, internet scamming, coercion in relation to an adult’s financial affairs or arrangements, including in connection with wills, property, inheritance or financial transactions, or the misuse or misappropriation of property, possessions or benefits.</w:t>
      </w:r>
    </w:p>
    <w:p>
      <w:pPr>
        <w:pStyle w:val="BodyText"/>
        <w:spacing w:before="10"/>
        <w:rPr>
          <w:sz w:val="20"/>
        </w:rPr>
      </w:pPr>
    </w:p>
    <w:p>
      <w:pPr>
        <w:pStyle w:val="Heading1"/>
        <w:ind w:left="127"/>
      </w:pPr>
      <w:r>
        <w:rPr>
          <w:color w:val="00A59B"/>
        </w:rPr>
        <w:t>Neglect/Acts of omission</w:t>
      </w:r>
    </w:p>
    <w:p>
      <w:pPr>
        <w:pStyle w:val="BodyText"/>
        <w:spacing w:line="276" w:lineRule="auto" w:before="32"/>
        <w:ind w:left="127"/>
      </w:pPr>
      <w:r>
        <w:rPr/>
        <w:t>This includes ignoring medical or physical care needs, failing to provide access to appropriate health social care or educational services, the withholding of the necessities of life, such as medication, adequate nutrition and heating.</w:t>
      </w:r>
    </w:p>
    <w:p>
      <w:pPr>
        <w:pStyle w:val="BodyText"/>
        <w:spacing w:before="7"/>
        <w:rPr>
          <w:sz w:val="20"/>
        </w:rPr>
      </w:pPr>
    </w:p>
    <w:p>
      <w:pPr>
        <w:pStyle w:val="Heading1"/>
        <w:ind w:left="127"/>
      </w:pPr>
      <w:r>
        <w:rPr>
          <w:color w:val="00A59B"/>
        </w:rPr>
        <w:t>Emotional or psychological</w:t>
      </w:r>
    </w:p>
    <w:p>
      <w:pPr>
        <w:pStyle w:val="BodyText"/>
        <w:spacing w:line="276" w:lineRule="auto" w:before="33"/>
        <w:ind w:left="127"/>
      </w:pPr>
      <w:r>
        <w:rPr/>
        <w:t>This includes threats of harm or abandonment, deprivation of contact, humiliation, blaming, controlling, intimidation, coercion, harassment, verbal abuse, isolation or withdrawal from services or supportive networks.</w:t>
      </w:r>
    </w:p>
    <w:p>
      <w:pPr>
        <w:spacing w:after="0" w:line="276" w:lineRule="auto"/>
        <w:sectPr>
          <w:type w:val="continuous"/>
          <w:pgSz w:w="16840" w:h="11900" w:orient="landscape"/>
          <w:pgMar w:top="400" w:bottom="0" w:left="2140" w:right="2220"/>
          <w:cols w:num="2" w:equalWidth="0">
            <w:col w:w="5901" w:space="586"/>
            <w:col w:w="5993"/>
          </w:cols>
        </w:sectPr>
      </w:pPr>
    </w:p>
    <w:p>
      <w:pPr>
        <w:pStyle w:val="BodyText"/>
        <w:rPr>
          <w:sz w:val="23"/>
        </w:rPr>
      </w:pPr>
    </w:p>
    <w:p>
      <w:pPr>
        <w:pStyle w:val="Heading1"/>
        <w:spacing w:line="276" w:lineRule="auto" w:before="100"/>
        <w:ind w:right="6331"/>
      </w:pPr>
      <w:r>
        <w:rPr>
          <w:color w:val="00A59B"/>
        </w:rPr>
        <w:t>Not included in the Care Act 2014 but also relevant to safeguarding adults in sport and physical activity:</w:t>
      </w:r>
    </w:p>
    <w:p>
      <w:pPr>
        <w:pStyle w:val="BodyText"/>
        <w:spacing w:before="7"/>
        <w:rPr>
          <w:b/>
          <w:sz w:val="12"/>
        </w:rPr>
      </w:pPr>
    </w:p>
    <w:p>
      <w:pPr>
        <w:spacing w:after="0"/>
        <w:rPr>
          <w:sz w:val="12"/>
        </w:rPr>
        <w:sectPr>
          <w:pgSz w:w="16840" w:h="11900" w:orient="landscape"/>
          <w:pgMar w:top="1100" w:bottom="0" w:left="2140" w:right="2220"/>
        </w:sectPr>
      </w:pPr>
    </w:p>
    <w:p>
      <w:pPr>
        <w:spacing w:before="100"/>
        <w:ind w:left="128" w:right="0" w:firstLine="0"/>
        <w:jc w:val="left"/>
        <w:rPr>
          <w:b/>
          <w:sz w:val="18"/>
        </w:rPr>
      </w:pPr>
      <w:r>
        <w:rPr/>
        <w:pict>
          <v:shape style="position:absolute;margin-left:810.719971pt;margin-top:573.955627pt;width:11.5pt;height:10.9pt;mso-position-horizontal-relative:page;mso-position-vertical-relative:page;z-index:-251771904" type="#_x0000_t202" filled="false" stroked="false">
            <v:textbox inset="0,0,0,0">
              <w:txbxContent>
                <w:p>
                  <w:pPr>
                    <w:spacing w:before="0"/>
                    <w:ind w:left="0" w:right="0" w:firstLine="0"/>
                    <w:jc w:val="left"/>
                    <w:rPr>
                      <w:b/>
                      <w:sz w:val="18"/>
                    </w:rPr>
                  </w:pPr>
                  <w:r>
                    <w:rPr>
                      <w:b/>
                      <w:color w:val="FFFFFF"/>
                      <w:sz w:val="18"/>
                    </w:rPr>
                    <w:t>16</w:t>
                  </w:r>
                </w:p>
              </w:txbxContent>
            </v:textbox>
            <w10:wrap type="none"/>
          </v:shape>
        </w:pict>
      </w:r>
      <w:r>
        <w:rPr/>
        <w:pict>
          <v:group style="position:absolute;margin-left:462.450317pt;margin-top:235.089996pt;width:379.35pt;height:359.05pt;mso-position-horizontal-relative:page;mso-position-vertical-relative:page;z-index:251663360" coordorigin="9249,4702" coordsize="7587,7181">
            <v:shape style="position:absolute;left:15283;top:10344;width:1539;height:1539" type="#_x0000_t75" stroked="false">
              <v:imagedata r:id="rId7" o:title=""/>
            </v:shape>
            <v:shape style="position:absolute;left:9249;top:4701;width:7553;height:5093" type="#_x0000_t75" stroked="false">
              <v:imagedata r:id="rId8" o:title=""/>
            </v:shape>
            <v:shape style="position:absolute;left:14913;top:7887;width:1923;height:3981" coordorigin="14914,7888" coordsize="1923,3981" path="m16836,7888l14914,9867,14952,11868,16836,9930,16836,7888xe" filled="true" fillcolor="#30afdb" stroked="false">
              <v:path arrowok="t"/>
              <v:fill type="solid"/>
            </v:shape>
            <v:shape style="position:absolute;left:11013;top:10104;width:5796;height:1776" type="#_x0000_t75" stroked="false">
              <v:imagedata r:id="rId9" o:title=""/>
            </v:shape>
            <w10:wrap type="none"/>
          </v:group>
        </w:pict>
      </w:r>
      <w:r>
        <w:rPr>
          <w:b/>
          <w:color w:val="00A59B"/>
          <w:sz w:val="18"/>
        </w:rPr>
        <w:t>Cyber Bullying</w:t>
      </w:r>
    </w:p>
    <w:p>
      <w:pPr>
        <w:pStyle w:val="BodyText"/>
        <w:spacing w:line="276" w:lineRule="auto" w:before="32"/>
        <w:ind w:left="128" w:right="160"/>
      </w:pPr>
      <w:r>
        <w:rPr/>
        <w:t>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w:t>
      </w:r>
    </w:p>
    <w:p>
      <w:pPr>
        <w:pStyle w:val="BodyText"/>
        <w:spacing w:before="9"/>
        <w:rPr>
          <w:sz w:val="20"/>
        </w:rPr>
      </w:pPr>
    </w:p>
    <w:p>
      <w:pPr>
        <w:pStyle w:val="Heading1"/>
      </w:pPr>
      <w:r>
        <w:rPr>
          <w:color w:val="00A59B"/>
        </w:rPr>
        <w:t>Forced marriage</w:t>
      </w:r>
    </w:p>
    <w:p>
      <w:pPr>
        <w:pStyle w:val="BodyText"/>
        <w:spacing w:line="276" w:lineRule="auto" w:before="32"/>
        <w:ind w:left="128" w:right="201"/>
      </w:pPr>
      <w:r>
        <w:rPr/>
        <w:t>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w:t>
      </w:r>
    </w:p>
    <w:p>
      <w:pPr>
        <w:pStyle w:val="BodyText"/>
        <w:spacing w:before="7"/>
        <w:rPr>
          <w:sz w:val="20"/>
        </w:rPr>
      </w:pPr>
    </w:p>
    <w:p>
      <w:pPr>
        <w:pStyle w:val="Heading1"/>
      </w:pPr>
      <w:r>
        <w:rPr>
          <w:color w:val="00A59B"/>
        </w:rPr>
        <w:t>Mate Crime</w:t>
      </w:r>
    </w:p>
    <w:p>
      <w:pPr>
        <w:pStyle w:val="BodyText"/>
        <w:spacing w:line="276" w:lineRule="auto" w:before="35"/>
        <w:ind w:left="128" w:right="38"/>
      </w:pPr>
      <w:r>
        <w:rPr/>
        <w:t>A ‘mate crime’ is when ‘vulnerable people are befriended by members of the community who go on to exploit and take advantage of them (Safety Network Project, ARC). It may not be an illegal act but still has</w:t>
      </w:r>
      <w:r>
        <w:rPr>
          <w:spacing w:val="-34"/>
        </w:rPr>
        <w:t> </w:t>
      </w:r>
      <w:r>
        <w:rPr/>
        <w:t>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w:t>
      </w:r>
      <w:r>
        <w:rPr>
          <w:spacing w:val="-8"/>
        </w:rPr>
        <w:t> </w:t>
      </w:r>
      <w:r>
        <w:rPr/>
        <w:t>friend.</w:t>
      </w:r>
    </w:p>
    <w:p>
      <w:pPr>
        <w:pStyle w:val="Heading1"/>
        <w:spacing w:before="100"/>
        <w:ind w:left="127"/>
      </w:pPr>
      <w:r>
        <w:rPr>
          <w:b w:val="0"/>
        </w:rPr>
        <w:br w:type="column"/>
      </w:r>
      <w:r>
        <w:rPr>
          <w:color w:val="00A59B"/>
        </w:rPr>
        <w:t>Radicalisation</w:t>
      </w:r>
    </w:p>
    <w:p>
      <w:pPr>
        <w:pStyle w:val="BodyText"/>
        <w:spacing w:line="276" w:lineRule="auto" w:before="32"/>
        <w:ind w:left="127" w:right="170"/>
      </w:pPr>
      <w:r>
        <w:rPr/>
        <w:t>The aim of radicalisation is to attract people to their reasoning, inspire new recruits and embed their extreme views and persuade vulnerable individuals of the legitimacy of their cause. This may be direct through a relationship, or through social media.</w:t>
      </w:r>
    </w:p>
    <w:sectPr>
      <w:type w:val="continuous"/>
      <w:pgSz w:w="16840" w:h="11900" w:orient="landscape"/>
      <w:pgMar w:top="400" w:bottom="0" w:left="2140" w:right="2220"/>
      <w:cols w:num="2" w:equalWidth="0">
        <w:col w:w="5931" w:space="556"/>
        <w:col w:w="599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rPr>
  </w:style>
  <w:style w:styleId="BodyText" w:type="paragraph">
    <w:name w:val="Body Text"/>
    <w:basedOn w:val="Normal"/>
    <w:uiPriority w:val="1"/>
    <w:qFormat/>
    <w:pPr/>
    <w:rPr>
      <w:rFonts w:ascii="Tahoma" w:hAnsi="Tahoma" w:eastAsia="Tahoma" w:cs="Tahoma"/>
      <w:sz w:val="18"/>
      <w:szCs w:val="18"/>
    </w:rPr>
  </w:style>
  <w:style w:styleId="Heading1" w:type="paragraph">
    <w:name w:val="Heading 1"/>
    <w:basedOn w:val="Normal"/>
    <w:uiPriority w:val="1"/>
    <w:qFormat/>
    <w:pPr>
      <w:ind w:left="128"/>
      <w:outlineLvl w:val="1"/>
    </w:pPr>
    <w:rPr>
      <w:rFonts w:ascii="Tahoma" w:hAnsi="Tahoma" w:eastAsia="Tahoma" w:cs="Tahoma"/>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lqzam2</dc:creator>
  <dc:title>Microsoft Word - Sport Resources Pack</dc:title>
  <dcterms:created xsi:type="dcterms:W3CDTF">2020-02-18T10:12:05Z</dcterms:created>
  <dcterms:modified xsi:type="dcterms:W3CDTF">2020-02-18T10:12:05Z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Creator">
    <vt:lpwstr>Microsoft Word - Sport Resources Pack</vt:lpwstr>
  </property>
  <property fmtid="{D5CDD505-2E9C-101B-9397-08002B2CF9AE}" pid="4" name="LastSaved">
    <vt:filetime>2020-02-18T00:00:00Z</vt:filetime>
  </property>
</Properties>
</file>